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r="http://schemas.openxmlformats.org/officeDocument/2006/relationships" xmlns:wpg="http://schemas.microsoft.com/office/word/2010/wordprocessingGroup" xmlns:wp="http://schemas.openxmlformats.org/drawingml/2006/wordprocessingDrawing" xmlns:w15="http://schemas.microsoft.com/office/word/2012/wordml" xmlns:wne="http://schemas.microsoft.com/office/word/2006/wordml" xmlns:w14="http://schemas.microsoft.com/office/word/2010/wordml" xmlns:v="urn:schemas-microsoft-com:vml" xmlns:wp14="http://schemas.microsoft.com/office/word/2010/wordprocessingDrawing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xmlns:a="http://schemas.openxmlformats.org/drawingml/2006/main">
  <w:body>
    <w:p>
      <w:pPr>
        <w:keepNext w:val="0"/>
        <w:keepLines w:val="0"/>
        <w:pageBreakBefore w:val="0"/>
        <w:widowControl w:val="0"/>
        <w:wordWrap/>
        <w:kinsoku/>
        <w:overflowPunct/>
        <w:topLinePunct w:val="0"/>
        <w:bidi w:val="0"/>
        <w:adjustRightInd/>
        <w:textAlignment w:val="auto"/>
        <w:autoSpaceDE/>
        <w:autoSpaceDN/>
        <w:snapToGrid/>
        <w:spacing w:afterAutospacing="0" w:beforeAutospacing="0" w:line="560" w:lineRule="exact"/>
        <w:rPr>
          <w:b w:val="0"/>
          <w:bCs w:val="0"/>
          <w:color w:val="000000"/>
          <w:kern w:val="2"/>
          <w:sz w:val="32"/>
          <w:szCs w:val="32"/>
          <w:lang w:val="en-US" w:eastAsia="zh-CN" w:bidi="ar-SA"/>
          <w:rFonts w:ascii="黑体" w:hAnsi="黑体" w:eastAsia="黑体" w:cs="黑体" w:hint="eastAsia"/>
        </w:rPr>
      </w:pPr>
    </w:p>
    <w:p>
      <w:pPr>
        <w:keepNext w:val="0"/>
        <w:keepLines w:val="0"/>
        <w:pageBreakBefore w:val="0"/>
        <w:widowControl w:val="0"/>
        <w:wordWrap/>
        <w:kinsoku/>
        <w:overflowPunct/>
        <w:topLinePunct w:val="0"/>
        <w:bidi w:val="0"/>
        <w:adjustRightInd/>
        <w:textAlignment w:val="auto"/>
        <w:autoSpaceDE/>
        <w:autoSpaceDN/>
        <w:snapToGrid/>
        <w:spacing w:afterAutospacing="0" w:beforeAutospacing="0" w:line="560" w:lineRule="exact"/>
        <w:ind w:firstLine="694" w:firstLineChars="200"/>
        <w:rPr>
          <w:color w:val="000000"/>
          <w:kern w:val="2"/>
          <w:sz w:val="36"/>
          <w:szCs w:val="36"/>
          <w:lang w:val="en-US" w:eastAsia="zh-CN" w:bidi="ar-SA"/>
          <w:rFonts w:ascii="方正小标宋_GBK" w:hAnsi="方正小标宋_GBK" w:eastAsia="方正小标宋_GBK" w:cs="方正小标宋_GBK" w:hint="eastAsia"/>
        </w:rPr>
        <w:jc w:val="center"/>
      </w:pPr>
      <w:r>
        <w:rPr>
          <w:color w:val="000000"/>
          <w:kern w:val="2"/>
          <w:sz w:val="36"/>
          <w:szCs w:val="36"/>
          <w:lang w:val="en-US" w:eastAsia="zh-CN" w:bidi="ar-SA"/>
          <w:rFonts w:ascii="方正小标宋_GBK" w:hAnsi="方正小标宋_GBK" w:eastAsia="方正小标宋_GBK" w:cs="方正小标宋_GBK" w:hint="eastAsia"/>
        </w:rPr>
        <w:t>青岛市质量创新大赛获奖名单</w:t>
      </w:r>
    </w:p>
    <w:p>
      <w:pPr>
        <w:pStyle w:val="6"/>
        <w:rPr>
          <w:lang w:val="en-US" w:eastAsia="zh-CN"/>
          <w:rFonts w:hint="default"/>
        </w:rPr>
      </w:pPr>
    </w:p>
    <w:tbl>
      <w:tblPr>
        <w:tblStyle w:val="9"/>
        <w:tblW w:w="9122" w:type="dxa"/>
        <w:jc w:val="center"/>
        <w:tblBorders>
          <w:top w:val="single" w:color="auto" w:sz="4" w:space="0" w:shadow="off" w:frame="off"/>
          <w:left w:val="single" w:color="auto" w:sz="4" w:space="0" w:shadow="off" w:frame="off"/>
          <w:bottom w:val="single" w:color="auto" w:sz="4" w:space="0" w:shadow="off" w:frame="off"/>
          <w:right w:val="single" w:color="auto" w:sz="4" w:space="0" w:shadow="off" w:frame="off"/>
          <w:insideH w:val="single" w:color="auto" w:sz="4" w:space="0" w:shadow="off" w:frame="off"/>
          <w:insideV w:val="single" w:color="auto" w:sz="4" w:space="0" w:shadow="off" w:frame="off"/>
        </w:tblBorders>
        <w:tblCellMar>
          <w:top w:type="dxa" w:w="0"/>
          <w:bottom w:type="dxa" w:w="0"/>
          <w:left w:type="dxa" w:w="108"/>
          <w:right w:type="dxa" w:w="108"/>
        </w:tblCellMar>
        <w:tblLayout w:type="autofit"/>
      </w:tblPr>
      <w:tblGrid>
        <w:gridCol w:w="897"/>
        <w:gridCol w:w="3749"/>
        <w:gridCol w:w="4476"/>
      </w:tblGrid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</w:tblPrEx>
        <w:trPr>
          <w:trHeight w:val="150" w:hRule="atLeast"/>
          <w:jc w:val="center"/>
        </w:trPr>
        <w:tc>
          <w:tcPr>
            <w:tcW w:w="91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560" w:lineRule="exact"/>
              <w:rPr>
                <w:vertAlign w:val="baseline"/>
                <w:color w:val="auto"/>
                <w:sz w:val="28"/>
                <w:szCs w:val="28"/>
                <w:lang w:val="en-US" w:eastAsia="zh-CN"/>
                <w:rFonts w:ascii="黑体" w:hAnsi="黑体" w:eastAsia="黑体" w:cs="黑体" w:hint="eastAsia"/>
              </w:rPr>
              <w:jc w:val="center"/>
            </w:pPr>
            <w:r>
              <w:rPr>
                <w:vertAlign w:val="baseline"/>
                <w:color w:val="auto"/>
                <w:sz w:val="28"/>
                <w:szCs w:val="28"/>
                <w:lang w:val="en-US" w:eastAsia="zh-CN"/>
                <w:rFonts w:ascii="黑体" w:hAnsi="黑体" w:eastAsia="黑体" w:cs="黑体" w:hint="eastAsia"/>
              </w:rPr>
              <w:t>一等奖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84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560" w:lineRule="exact"/>
              <w:rPr>
                <w:vertAlign w:val="baseline"/>
                <w:color w:val="auto"/>
                <w:sz w:val="28"/>
                <w:szCs w:val="28"/>
                <w:lang w:val="en-US" w:eastAsia="zh-CN"/>
                <w:rFonts w:ascii="黑体" w:hAnsi="黑体" w:eastAsia="黑体" w:cs="黑体" w:hint="eastAsia"/>
              </w:rPr>
              <w:jc w:val="center"/>
            </w:pPr>
            <w:r>
              <w:rPr>
                <w:vertAlign w:val="baseline"/>
                <w:color w:val="auto"/>
                <w:sz w:val="28"/>
                <w:szCs w:val="28"/>
                <w:lang w:val="en-US" w:eastAsia="zh-CN"/>
                <w:rFonts w:ascii="黑体" w:hAnsi="黑体" w:eastAsia="黑体" w:cs="黑体" w:hint="eastAsia"/>
              </w:rPr>
              <w:t>序号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560" w:lineRule="exact"/>
              <w:rPr>
                <w:vertAlign w:val="baseline"/>
                <w:color w:val="auto"/>
                <w:sz w:val="28"/>
                <w:szCs w:val="28"/>
                <w:lang w:val="en-US" w:eastAsia="zh-CN"/>
                <w:rFonts w:ascii="黑体" w:hAnsi="黑体" w:eastAsia="黑体" w:cs="黑体" w:hint="eastAsia"/>
              </w:rPr>
              <w:jc w:val="center"/>
            </w:pPr>
            <w:r>
              <w:rPr>
                <w:vertAlign w:val="baseline"/>
                <w:color w:val="auto"/>
                <w:sz w:val="28"/>
                <w:szCs w:val="28"/>
                <w:lang w:val="en-US" w:eastAsia="zh-CN"/>
                <w:rFonts w:ascii="黑体" w:hAnsi="黑体" w:eastAsia="黑体" w:cs="黑体" w:hint="eastAsia"/>
              </w:rPr>
              <w:t>单位名称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560" w:lineRule="exact"/>
              <w:rPr>
                <w:vertAlign w:val="baseline"/>
                <w:color w:val="auto"/>
                <w:sz w:val="28"/>
                <w:szCs w:val="28"/>
                <w:rFonts w:ascii="黑体" w:hAnsi="黑体" w:eastAsia="黑体" w:cs="黑体" w:hint="eastAsia"/>
              </w:rPr>
              <w:jc w:val="center"/>
            </w:pPr>
            <w:r>
              <w:rPr>
                <w:vertAlign w:val="baseline"/>
                <w:color w:val="auto"/>
                <w:sz w:val="28"/>
                <w:szCs w:val="28"/>
                <w:lang w:val="en-US" w:eastAsia="zh-CN"/>
                <w:rFonts w:ascii="黑体" w:hAnsi="黑体" w:eastAsia="黑体" w:cs="黑体" w:hint="eastAsia"/>
              </w:rPr>
              <w:t>项目</w:t>
            </w:r>
            <w:r>
              <w:rPr>
                <w:vertAlign w:val="baseline"/>
                <w:color w:val="auto"/>
                <w:sz w:val="28"/>
                <w:szCs w:val="28"/>
                <w:rFonts w:ascii="黑体" w:hAnsi="黑体" w:eastAsia="黑体" w:cs="黑体" w:hint="eastAsia"/>
              </w:rPr>
              <w:t>名称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84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1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  <w:u w:val="none"/>
                <w:rFonts w:ascii="仿宋_GB2312" w:hAnsi="宋体" w:eastAsia="仿宋_GB2312" w:cs="仿宋_GB2312" w:hint="eastAsia"/>
              </w:rPr>
              <w:t>中车青岛四方机车车辆股份有限公司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  <w:u w:val="none"/>
                <w:rFonts w:ascii="仿宋_GB2312" w:hAnsi="宋体" w:eastAsia="仿宋_GB2312" w:cs="仿宋_GB2312" w:hint="eastAsia"/>
              </w:rPr>
              <w:t>动车组全寿命周期服役性能保障技术研究及示范应用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84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2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  <w:u w:val="none"/>
                <w:rFonts w:ascii="仿宋_GB2312" w:hAnsi="宋体" w:eastAsia="仿宋_GB2312" w:cs="仿宋_GB2312" w:hint="eastAsia"/>
              </w:rPr>
              <w:t>中电科思仪科技股份有限公司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  <w:u w:val="none"/>
                <w:rFonts w:ascii="仿宋_GB2312" w:hAnsi="宋体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  <w:u w:val="none"/>
                <w:rFonts w:ascii="仿宋_GB2312" w:hAnsi="宋体" w:eastAsia="仿宋_GB2312" w:cs="仿宋_GB2312" w:hint="eastAsia"/>
              </w:rPr>
              <w:t>太赫兹测试仪器可靠性提升及规模化应用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90" w:hRule="atLeast"/>
          <w:jc w:val="center"/>
        </w:trPr>
        <w:tc>
          <w:tcPr>
            <w:tcW w:w="91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560" w:lineRule="exact"/>
              <w:rPr>
                <w:vertAlign w:val="baseline"/>
                <w:color w:val="auto"/>
                <w:sz w:val="28"/>
                <w:szCs w:val="28"/>
                <w:lang w:val="en-US" w:eastAsia="zh-CN"/>
                <w:rFonts w:ascii="黑体" w:hAnsi="黑体" w:eastAsia="黑体" w:cs="黑体" w:hint="default"/>
              </w:rPr>
              <w:jc w:val="center"/>
            </w:pPr>
            <w:r>
              <w:rPr>
                <w:vertAlign w:val="baseline"/>
                <w:color w:val="auto"/>
                <w:sz w:val="28"/>
                <w:szCs w:val="28"/>
                <w:lang w:val="en-US" w:eastAsia="zh-CN"/>
                <w:rFonts w:ascii="黑体" w:hAnsi="黑体" w:eastAsia="黑体" w:cs="黑体" w:hint="eastAsia"/>
              </w:rPr>
              <w:t>二等奖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84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560" w:lineRule="exact"/>
              <w:rPr>
                <w:vertAlign w:val="baseline"/>
                <w:color w:val="auto"/>
                <w:sz w:val="28"/>
                <w:szCs w:val="28"/>
                <w:lang w:val="en-US" w:eastAsia="zh-CN"/>
                <w:rFonts w:ascii="黑体" w:hAnsi="黑体" w:eastAsia="黑体" w:cs="黑体" w:hint="eastAsia"/>
              </w:rPr>
              <w:jc w:val="center"/>
            </w:pPr>
            <w:r>
              <w:rPr>
                <w:vertAlign w:val="baseline"/>
                <w:color w:val="auto"/>
                <w:sz w:val="28"/>
                <w:szCs w:val="28"/>
                <w:lang w:val="en-US" w:eastAsia="zh-CN"/>
                <w:rFonts w:ascii="黑体" w:hAnsi="黑体" w:eastAsia="黑体" w:cs="黑体" w:hint="eastAsia"/>
              </w:rPr>
              <w:t>序号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560" w:lineRule="exact"/>
              <w:rPr>
                <w:vertAlign w:val="baseline"/>
                <w:color w:val="auto"/>
                <w:sz w:val="28"/>
                <w:szCs w:val="28"/>
                <w:lang w:val="en-US" w:eastAsia="zh-CN"/>
                <w:rFonts w:ascii="黑体" w:hAnsi="黑体" w:eastAsia="黑体" w:cs="黑体" w:hint="eastAsia"/>
              </w:rPr>
              <w:jc w:val="center"/>
            </w:pPr>
            <w:r>
              <w:rPr>
                <w:vertAlign w:val="baseline"/>
                <w:color w:val="auto"/>
                <w:sz w:val="28"/>
                <w:szCs w:val="28"/>
                <w:lang w:val="en-US" w:eastAsia="zh-CN"/>
                <w:rFonts w:ascii="黑体" w:hAnsi="黑体" w:eastAsia="黑体" w:cs="黑体" w:hint="eastAsia"/>
              </w:rPr>
              <w:t>单位名称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560" w:lineRule="exact"/>
              <w:rPr>
                <w:vertAlign w:val="baseline"/>
                <w:color w:val="auto"/>
                <w:sz w:val="28"/>
                <w:szCs w:val="28"/>
                <w:lang w:val="en-US" w:eastAsia="zh-CN"/>
                <w:rFonts w:ascii="黑体" w:hAnsi="黑体" w:eastAsia="黑体" w:cs="黑体" w:hint="eastAsia"/>
              </w:rPr>
              <w:jc w:val="center"/>
            </w:pPr>
            <w:r>
              <w:rPr>
                <w:vertAlign w:val="baseline"/>
                <w:color w:val="auto"/>
                <w:sz w:val="28"/>
                <w:szCs w:val="28"/>
                <w:lang w:val="en-US" w:eastAsia="zh-CN"/>
                <w:rFonts w:ascii="黑体" w:hAnsi="黑体" w:eastAsia="黑体" w:cs="黑体" w:hint="eastAsia"/>
              </w:rPr>
              <w:t>项目名称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84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default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1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青岛市市立医院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DRG临床路径新体系赋能医院高质量发展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84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2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青岛海洋工程水下设备检测有限公司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水下采油树系统关键部件检验检测新技术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84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default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3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青岛地铁集团有限公司西海岸建设分公司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大跨隧道预应力主动支护理论与建造成套技术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84" w:hRule="atLeast"/>
          <w:jc w:val="center"/>
        </w:trPr>
        <w:tc>
          <w:tcPr>
            <w:tcW w:w="91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560" w:lineRule="exact"/>
              <w:rPr>
                <w:vertAlign w:val="baseline"/>
                <w:color w:val="auto"/>
                <w:sz w:val="28"/>
                <w:szCs w:val="28"/>
                <w:lang w:val="en-US" w:eastAsia="zh-CN"/>
                <w:rFonts w:ascii="黑体" w:hAnsi="黑体" w:eastAsia="黑体" w:cs="黑体" w:hint="default"/>
              </w:rPr>
              <w:jc w:val="center"/>
            </w:pPr>
            <w:r>
              <w:rPr>
                <w:vertAlign w:val="baseline"/>
                <w:color w:val="auto"/>
                <w:sz w:val="28"/>
                <w:szCs w:val="28"/>
                <w:lang w:val="en-US" w:eastAsia="zh-CN"/>
                <w:rFonts w:ascii="黑体" w:hAnsi="黑体" w:eastAsia="黑体" w:cs="黑体" w:hint="eastAsia"/>
              </w:rPr>
              <w:t>三等奖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84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560" w:lineRule="exact"/>
              <w:rPr>
                <w:vertAlign w:val="baseline"/>
                <w:color w:val="auto"/>
                <w:sz w:val="28"/>
                <w:szCs w:val="28"/>
                <w:lang w:val="en-US" w:eastAsia="zh-CN"/>
                <w:rFonts w:ascii="黑体" w:hAnsi="黑体" w:eastAsia="黑体" w:cs="黑体" w:hint="eastAsia"/>
              </w:rPr>
              <w:jc w:val="center"/>
            </w:pPr>
            <w:r>
              <w:rPr>
                <w:vertAlign w:val="baseline"/>
                <w:color w:val="auto"/>
                <w:sz w:val="28"/>
                <w:szCs w:val="28"/>
                <w:lang w:val="en-US" w:eastAsia="zh-CN"/>
                <w:rFonts w:ascii="黑体" w:hAnsi="黑体" w:eastAsia="黑体" w:cs="黑体" w:hint="eastAsia"/>
              </w:rPr>
              <w:t>序号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560" w:lineRule="exact"/>
              <w:rPr>
                <w:vertAlign w:val="baseline"/>
                <w:color w:val="auto"/>
                <w:sz w:val="28"/>
                <w:szCs w:val="28"/>
                <w:lang w:val="en-US" w:eastAsia="zh-CN"/>
                <w:rFonts w:ascii="黑体" w:hAnsi="黑体" w:eastAsia="黑体" w:cs="黑体" w:hint="eastAsia"/>
              </w:rPr>
              <w:jc w:val="center"/>
            </w:pPr>
            <w:r>
              <w:rPr>
                <w:vertAlign w:val="baseline"/>
                <w:color w:val="auto"/>
                <w:sz w:val="28"/>
                <w:szCs w:val="28"/>
                <w:lang w:val="en-US" w:eastAsia="zh-CN"/>
                <w:rFonts w:ascii="黑体" w:hAnsi="黑体" w:eastAsia="黑体" w:cs="黑体" w:hint="eastAsia"/>
              </w:rPr>
              <w:t>单位名称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kinsoku/>
              <w:overflowPunct/>
              <w:topLinePunct w:val="0"/>
              <w:bidi w:val="0"/>
              <w:adjustRightInd/>
              <w:textAlignment w:val="auto"/>
              <w:autoSpaceDE/>
              <w:autoSpaceDN/>
              <w:snapToGrid/>
              <w:spacing w:afterAutospacing="0" w:beforeAutospacing="0" w:line="560" w:lineRule="exact"/>
              <w:rPr>
                <w:vertAlign w:val="baseline"/>
                <w:color w:val="auto"/>
                <w:sz w:val="28"/>
                <w:szCs w:val="28"/>
                <w:lang w:val="en-US" w:eastAsia="zh-CN"/>
                <w:rFonts w:ascii="黑体" w:hAnsi="黑体" w:eastAsia="黑体" w:cs="黑体" w:hint="eastAsia"/>
              </w:rPr>
              <w:jc w:val="center"/>
            </w:pPr>
            <w:r>
              <w:rPr>
                <w:vertAlign w:val="baseline"/>
                <w:color w:val="auto"/>
                <w:sz w:val="28"/>
                <w:szCs w:val="28"/>
                <w:lang w:val="en-US" w:eastAsia="zh-CN"/>
                <w:rFonts w:ascii="黑体" w:hAnsi="黑体" w:eastAsia="黑体" w:cs="黑体" w:hint="eastAsia"/>
              </w:rPr>
              <w:t>项目名称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84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1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青岛啤酒股份有限公司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上面发酵白啤酒酿造技术研究及产品创新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90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2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青岛鸿鹄航空科技有限公司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覆盖全球的远距离航空温控生态服务平台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84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3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青岛超银中学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“点亮人生”“和衡”素质教育质量管理模式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84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4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青岛海尔空调器有限总公司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打造5星级舒适体验空调的关键技术研发与产业化应用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84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  <w:u w:val="none"/>
                <w:rFonts w:ascii="仿宋_GB2312" w:hAnsi="宋体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  <w:u w:val="none"/>
                <w:rFonts w:ascii="仿宋_GB2312" w:hAnsi="宋体" w:eastAsia="仿宋_GB2312" w:cs="仿宋_GB2312" w:hint="eastAsia"/>
              </w:rPr>
              <w:t>5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  <w:u w:val="none"/>
                <w:rFonts w:ascii="仿宋_GB2312" w:hAnsi="宋体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  <w:u w:val="none"/>
                <w:rFonts w:ascii="仿宋_GB2312" w:hAnsi="宋体" w:eastAsia="仿宋_GB2312" w:cs="仿宋_GB2312" w:hint="eastAsia"/>
              </w:rPr>
              <w:t>青岛海信日立空调系统有限公司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  <w:u w:val="none"/>
                <w:rFonts w:ascii="仿宋_GB2312" w:hAnsi="宋体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000000"/>
                <w:kern w:val="0"/>
                <w:sz w:val="28"/>
                <w:szCs w:val="28"/>
                <w:lang w:val="en-US" w:eastAsia="zh-CN" w:bidi="ar"/>
                <w:u w:val="none"/>
                <w:rFonts w:ascii="仿宋_GB2312" w:hAnsi="宋体" w:eastAsia="仿宋_GB2312" w:cs="仿宋_GB2312" w:hint="eastAsia"/>
              </w:rPr>
              <w:t>紧凑型可镜像家用中央空调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84" w:hRule="atLeast"/>
          <w:jc w:val="center"/>
        </w:trPr>
        <w:tc>
          <w:tcPr>
            <w:tcW w:w="91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56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default"/>
              </w:rPr>
              <w:jc w:val="center"/>
            </w:pPr>
            <w:r>
              <w:rPr>
                <w:vertAlign w:val="baseline"/>
                <w:color w:val="auto"/>
                <w:sz w:val="28"/>
                <w:szCs w:val="28"/>
                <w:lang w:val="en-US" w:eastAsia="zh-CN"/>
                <w:rFonts w:ascii="黑体" w:hAnsi="黑体" w:eastAsia="黑体" w:cs="黑体" w:hint="eastAsia"/>
              </w:rPr>
              <w:t>优秀奖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84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ordWrap/>
              <w:kinsoku/>
              <w:overflowPunct/>
              <w:topLinePunct w:val="0"/>
              <w:bidi w:val="0"/>
              <w:adjustRightInd/>
              <w:autoSpaceDE/>
              <w:autoSpaceDN/>
              <w:snapToGrid/>
              <w:spacing w:afterAutospacing="0" w:beforeAutospacing="0" w:line="56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vertAlign w:val="baseline"/>
                <w:color w:val="auto"/>
                <w:sz w:val="28"/>
                <w:szCs w:val="28"/>
                <w:lang w:val="en-US" w:eastAsia="zh-CN"/>
                <w:rFonts w:ascii="黑体" w:hAnsi="黑体" w:eastAsia="黑体" w:cs="黑体" w:hint="eastAsia"/>
              </w:rPr>
              <w:t>序号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ordWrap/>
              <w:kinsoku/>
              <w:overflowPunct/>
              <w:topLinePunct w:val="0"/>
              <w:bidi w:val="0"/>
              <w:adjustRightInd/>
              <w:autoSpaceDE/>
              <w:autoSpaceDN/>
              <w:snapToGrid/>
              <w:spacing w:afterAutospacing="0" w:beforeAutospacing="0" w:line="56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vertAlign w:val="baseline"/>
                <w:color w:val="auto"/>
                <w:sz w:val="28"/>
                <w:szCs w:val="28"/>
                <w:lang w:val="en-US" w:eastAsia="zh-CN"/>
                <w:rFonts w:ascii="黑体" w:hAnsi="黑体" w:eastAsia="黑体" w:cs="黑体" w:hint="eastAsia"/>
              </w:rPr>
              <w:t>单位名称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ordWrap/>
              <w:kinsoku/>
              <w:overflowPunct/>
              <w:topLinePunct w:val="0"/>
              <w:bidi w:val="0"/>
              <w:adjustRightInd/>
              <w:autoSpaceDE/>
              <w:autoSpaceDN/>
              <w:snapToGrid/>
              <w:spacing w:afterAutospacing="0" w:beforeAutospacing="0" w:line="56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vertAlign w:val="baseline"/>
                <w:color w:val="auto"/>
                <w:sz w:val="28"/>
                <w:szCs w:val="28"/>
                <w:lang w:val="en-US" w:eastAsia="zh-CN"/>
                <w:rFonts w:ascii="黑体" w:hAnsi="黑体" w:eastAsia="黑体" w:cs="黑体" w:hint="eastAsia"/>
              </w:rPr>
              <w:t>项目</w:t>
            </w:r>
            <w:r>
              <w:rPr>
                <w:vertAlign w:val="baseline"/>
                <w:color w:val="auto"/>
                <w:sz w:val="28"/>
                <w:szCs w:val="28"/>
                <w:rFonts w:ascii="黑体" w:hAnsi="黑体" w:eastAsia="黑体" w:cs="黑体" w:hint="eastAsia"/>
              </w:rPr>
              <w:t>名称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84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1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青岛双星轮胎工业有限公司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全民安全轮胎的创新研发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84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2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中车青岛四方机车车辆股份有限公司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轨道客车高效、优质、绿色钎焊质量提升技术及产业化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84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3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中船重工(青岛)轨道交通装备有限公司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φ7032mm硬岩城市地铁隧道掘进机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84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4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青岛特殊钢铁有限公司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汽车用60Kg级高钛特种焊接用钢盘条的研发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84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5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青岛地铁运营有限公司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城市轨道交通飞轮储能技术研发与应用项目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84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6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青岛市勘察测绘研究院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超大规模城市实景三维模型建设质量控制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84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7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卡奥斯工业智能研究院（青岛）有限公司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青岛市质量基础设施公共服务平台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84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8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海信冰箱有限公司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家用冰箱真空存储保鲜技术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84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default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9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青岛明月海藻集团有限公司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藻酸盐组织工程材料研发与产业化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84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default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10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青岛森麒麟轮胎股份有限公司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QinrinEV新能源专用轮胎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84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default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11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中石大蓝天(青岛)石油技术有限公司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多能互补直流微电网及抽油机节能群控系统节能技术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84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default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12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青岛市中心医院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全方位健康宣教模式在血液透析患者管理中的应用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84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default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13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青岛海尔洗衣机有限公司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家电可视化透明包装减少资源浪费改善环境的探索实践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84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default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14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凯盛浩丰农业有限公司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智慧农业数智化管理项目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361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default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15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山东大学齐鲁医院（青岛）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bookmarkStart w:id="0" w:name="_GoBack"/>
            <w:bookmarkEnd w:id="0"/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脑卒中吞咽障碍多学科恢复经口进食</w:t>
            </w: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管理路径的构建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84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default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16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default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青岛市口腔医院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青岛市口腔健康教育基地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84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default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17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中国石化青岛炼油化工有限责任公司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耐辐照杀菌聚丙烯专用料的开发与应用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84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default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18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青岛伊克斯达有限公司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废旧轮胎生产裂解炭黑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84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default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19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青岛市黄岛区人民医院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基于MEWS与SBAR机制的风险预警系统模型在急性脑卒中患者中的实证研究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84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default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20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青岛市中医医院（市海慈医院）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患者“一键下单” 医院“送药上门”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84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default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21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青岛市第三人民医院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三高指导中心管理体系构建</w:t>
            </w:r>
          </w:p>
        </w:tc>
      </w:tr>
      <w:tr>
        <w:tblPrEx>
          <w:tblBorders>
            <w:top w:val="single" w:color="auto" w:sz="4" w:space="0" w:shadow="off" w:frame="off"/>
            <w:left w:val="single" w:color="auto" w:sz="4" w:space="0" w:shadow="off" w:frame="off"/>
            <w:bottom w:val="single" w:color="auto" w:sz="4" w:space="0" w:shadow="off" w:frame="off"/>
            <w:right w:val="single" w:color="auto" w:sz="4" w:space="0" w:shadow="off" w:frame="off"/>
            <w:insideH w:val="single" w:color="auto" w:sz="4" w:space="0" w:shadow="off" w:frame="off"/>
            <w:insideV w:val="single" w:color="auto" w:sz="4" w:space="0" w:shadow="off" w:frame="off"/>
          </w:tblBorders>
          <w:tblCellMar>
            <w:top w:type="dxa" w:w="0"/>
            <w:bottom w:type="dxa" w:w="0"/>
            <w:left w:type="dxa" w:w="108"/>
            <w:right w:type="dxa" w:w="108"/>
          </w:tblCellMar>
        </w:tblPrEx>
        <w:trPr>
          <w:trHeight w:val="584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default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22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青岛市城阳区人民医院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suppressLineNumbers w:val="0"/>
              <w:kinsoku/>
              <w:overflowPunct/>
              <w:topLinePunct w:val="0"/>
              <w:bidi w:val="0"/>
              <w:adjustRightInd/>
              <w:textAlignment w:val="center"/>
              <w:autoSpaceDE/>
              <w:autoSpaceDN/>
              <w:snapToGrid/>
              <w:spacing w:afterAutospacing="0" w:beforeAutospacing="0" w:line="480" w:lineRule="exact"/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jc w:val="center"/>
            </w:pPr>
            <w:r>
              <w:rPr>
                <w:i w:val="0"/>
                <w:iCs w:val="0"/>
                <w:color w:val="auto"/>
                <w:kern w:val="0"/>
                <w:sz w:val="28"/>
                <w:szCs w:val="28"/>
                <w:lang w:val="en-US" w:eastAsia="zh-CN" w:bidi="ar"/>
                <w:u w:val="none"/>
                <w:rFonts w:ascii="仿宋_GB2312" w:hAnsi="仿宋_GB2312" w:eastAsia="仿宋_GB2312" w:cs="仿宋_GB2312" w:hint="eastAsia"/>
              </w:rPr>
              <w:t>智慧就医，一“码”到底</w:t>
            </w:r>
          </w:p>
        </w:tc>
      </w:tr>
    </w:tbl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color w:val="auto"/>
          <w:szCs w:val="32"/>
          <w:rFonts w:ascii="仿宋_GB2312" w:hint="eastAsia"/>
        </w:rPr>
      </w:pPr>
    </w:p>
    <w:p/>
    <w:sectPr>
      <w:footerReference r:id="rId4" w:type="default"/>
      <w:docGrid w:type="linesAndChars" w:linePitch="292" w:charSpace="-2754"/>
      <w:pgSz w:w="11906" w:h="16838"/>
      <w:pgMar w:top="2098" w:right="1474" w:bottom="1984" w:left="1587" w:header="851" w:footer="992" w:gutter="0"/>
      <w:pgNumType w:start="2"/>
      <w:cols w:space="0" w:num="1"/>
      <w:rtlGutter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14="http://schemas.microsoft.com/office/word/2010/wordml" xmlns:w="http://schemas.openxmlformats.org/wordprocessingml/2006/main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m="http://schemas.openxmlformats.org/officeDocument/2006/math" xmlns:wpi="http://schemas.microsoft.com/office/word/2010/wordprocessingInk" xmlns:w10="urn:schemas-microsoft-com:office:word" xmlns:wp14="http://schemas.microsoft.com/office/word/2010/wordprocessingDrawing" xmlns:v="urn:schemas-microsoft-com:vml" xmlns:w14="http://schemas.microsoft.com/office/word/2010/wordml" xmlns:wne="http://schemas.microsoft.com/office/word/2006/wordml" xmlns:w15="http://schemas.microsoft.com/office/word/2012/wordml" xmlns:wp="http://schemas.openxmlformats.org/drawingml/2006/wordprocessingDrawing" xmlns:wpg="http://schemas.microsoft.com/office/word/2010/wordprocessingGroup" xmlns:r="http://schemas.openxmlformats.org/officeDocument/2006/relationships" xmlns:wps="http://schemas.microsoft.com/office/word/2010/wordprocessingShape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y="0" x="0"/>
              <mc:AlternateContent>
                <mc:Choice Requires="wp14">
                  <wp:positionH relativeFrom="margin">
                    <wp:align>center</wp:align>
                  </wp:positionH>
                </mc:Choice>
              </mc:AlternateContent>
              <wp:positionV relativeFrom="paragraph">
                <wp:posOffset>0</wp:posOffset>
              </wp:positionV>
              <wp:extent cy="1828800" cx="1828800"/>
              <wp:effectExtent b="0" r="0" t="0" l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xmlns:a="http://schemas.openxmlformats.org/drawingml/2006/main" txBox="1"/>
                    <wps:spPr>
                      <a:xfrm>
                        <a:off y="0" x="0"/>
                        <a:ext cy="1828800" cx="1828800"/>
                      </a:xfrm>
                      <a:prstGeom prst="rect"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 xmlns:a="http://schemas.openxmlformats.org/drawingml/2006/main"/>
                    </wps:bodyPr>
                  </wps:wsp>
                </a:graphicData>
              </a:graphic>
            </wp:anchor>
          </w:drawing>
        </mc:Choice>
        <mc:Fallback/>
      </mc:AlternateContent>
    </w:r>
  </w:p>
</w:ftr>
</file>

<file path=word/settings.xml><?xml version="1.0" encoding="utf-8"?>
<w:settings xmlns:mc="http://schemas.openxmlformats.org/markup-compatibility/2006" xmlns:m="http://schemas.openxmlformats.org/officeDocument/2006/math" xmlns:o="urn:schemas-microsoft-com:office:office" xmlns:w="http://schemas.openxmlformats.org/wordprocessingml/2006/main" xmlns:w10="urn:schemas-microsoft-com:office:word" xmlns:wpsCustomData="http://www.wps.cn/officeDocument/2013/wpsCustomData" xmlns:v="urn:schemas-microsoft-com:vml" xmlns:sl="http://schemas.openxmlformats.org/schemaLibrary/2006/main" xmlns:r="http://schemas.openxmlformats.org/officeDocument/2006/relationships" xmlns:w14="http://schemas.microsoft.com/office/word/2010/wordml" mc:Ignorable="w14">
  <w:bordersDoNotSurroundHeader/>
  <w:bordersDoNotSurroundFooter/>
  <w:defaultTabStop w:val="420"/>
  <w:drawingGridVerticalSpacing w:val="146"/>
  <w:drawingGridHorizontalSpacing w:val="98"/>
  <w:displayHorizontalDrawingGridEvery w:val="1"/>
  <w:displayVerticalDrawingGridEvery w:val="1"/>
  <w:characterSpacingControl w:val="compressPunctuation"/>
  <w:zoom w:percent="12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000000"/>
    <w:rsid w:val="004B71AB"/>
    <w:rsid w:val="008C6528"/>
    <w:rsid w:val="03AA717A"/>
    <w:rsid w:val="069B5E85"/>
    <w:rsid w:val="0842480A"/>
    <w:rsid w:val="092456E8"/>
    <w:rsid w:val="094B1DE4"/>
    <w:rsid w:val="0E5E7EC3"/>
    <w:rsid w:val="10053735"/>
    <w:rsid w:val="12695089"/>
    <w:rsid w:val="127C300E"/>
    <w:rsid w:val="12F812AB"/>
    <w:rsid w:val="13223BB5"/>
    <w:rsid w:val="139525D9"/>
    <w:rsid w:val="1398004C"/>
    <w:rsid w:val="142E658A"/>
    <w:rsid w:val="15A41DE1"/>
    <w:rsid w:val="15E50ECA"/>
    <w:rsid w:val="174A5489"/>
    <w:rsid w:val="174F2A9F"/>
    <w:rsid w:val="180513B0"/>
    <w:rsid w:val="1C597F1C"/>
    <w:rsid w:val="1D930211"/>
    <w:rsid w:val="1DB401C9"/>
    <w:rsid w:val="1F83517A"/>
    <w:rsid w:val="20606A88"/>
    <w:rsid w:val="21366A7E"/>
    <w:rsid w:val="21645399"/>
    <w:rsid w:val="27AC35F6"/>
    <w:rsid w:val="28F3548C"/>
    <w:rsid w:val="2A3A138D"/>
    <w:rsid w:val="2A8B3551"/>
    <w:rsid w:val="2A992A9D"/>
    <w:rsid w:val="2B457FE9"/>
    <w:rsid w:val="2BB62C95"/>
    <w:rsid w:val="2EFA10EB"/>
    <w:rsid w:val="30DD22C8"/>
    <w:rsid w:val="310224D9"/>
    <w:rsid w:val="346C2A8B"/>
    <w:rsid w:val="34853B4C"/>
    <w:rsid w:val="3522139B"/>
    <w:rsid w:val="36DB7A54"/>
    <w:rsid w:val="3D0575D8"/>
    <w:rsid w:val="3F915055"/>
    <w:rsid w:val="4079476E"/>
    <w:rsid w:val="428A12E0"/>
    <w:rsid w:val="43CA26B1"/>
    <w:rsid w:val="49413F52"/>
    <w:rsid w:val="4F210A3F"/>
    <w:rsid w:val="4F9E0730"/>
    <w:rsid w:val="4FE71E43"/>
    <w:rsid w:val="4FF71C96"/>
    <w:rsid w:val="50A11E2B"/>
    <w:rsid w:val="521C11F4"/>
    <w:rsid w:val="53D8739D"/>
    <w:rsid w:val="54044F38"/>
    <w:rsid w:val="545D66B1"/>
    <w:rsid w:val="548F2152"/>
    <w:rsid w:val="585B2A84"/>
    <w:rsid w:val="59B215B0"/>
    <w:rsid w:val="5A587827"/>
    <w:rsid w:val="5BFB2413"/>
    <w:rsid w:val="5C6519EA"/>
    <w:rsid w:val="5F3F55F1"/>
    <w:rsid w:val="60763F7C"/>
    <w:rsid w:val="667B7C9D"/>
    <w:rsid w:val="671604B0"/>
    <w:rsid w:val="67190322"/>
    <w:rsid w:val="68DA686F"/>
    <w:rsid w:val="697568CF"/>
    <w:rsid w:val="6E3F209B"/>
    <w:rsid w:val="6ECE341F"/>
    <w:rsid w:val="70426C4A"/>
    <w:rsid w:val="70F57AF7"/>
    <w:rsid w:val="71B42DA0"/>
    <w:rsid w:val="7234618E"/>
    <w:rsid w:val="742F617E"/>
    <w:rsid w:val="75536141"/>
    <w:rsid w:val="781E71C5"/>
    <w:rsid w:val="7A0423EA"/>
    <w:rsid w:val="7FEA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shapeDefaults>
    <o:shapedefaults spidmax="0" fill="t" fillcolor="#FFFFFF" stroke="t"/>
    <o:shapelayout v:ext="edit">
      <o:idmap v:ext="edit" data="1"/>
    </o:shapelayout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/>
  <w:listSeparator/>
</w:settings>
</file>

<file path=word/styles.xml><?xml version="1.0" encoding="utf-8"?>
<w:styles xmlns:mc="http://schemas.openxmlformats.org/markup-compatibility/2006" xmlns:m="http://schemas.openxmlformats.org/officeDocument/2006/math" xmlns:v="urn:schemas-microsoft-com:vml" xmlns:sl="http://schemas.openxmlformats.org/schemaLibrary/2006/main" xmlns:w="http://schemas.openxmlformats.org/wordprocessingml/2006/main" xmlns:o="urn:schemas-microsoft-com:office:office" xmlns:r="http://schemas.openxmlformats.org/officeDocument/2006/relationships" xmlns:w14="http://schemas.microsoft.com/office/word/2010/wordml" xmlns:w10="urn:schemas-microsoft-com:office:word" xmlns:wpsCustomData="http://www.wps.cn/officeDocument/2013/wpsCustomData" mc:Ignorable="w14">
  <w:docDefaults>
    <w:rPrDefault>
      <w:rPr/>
    </w:rPrDefault>
    <w:pPrDefault/>
  </w:docDefaults>
  <w:latentStyles w:defLockedState="0" w:defSemiHidden="1" w:defUnhideWhenUsed="1" w:defQFormat="0" w:defUIPriority="99" w:count="260">
    <w:lsdException w:name="Balloon Text" w:uiPriority="0" w:semiHidden="0" w:unhideWhenUsed="0"/>
    <w:lsdException w:name="Block Text" w:uiPriority="0" w:semiHidden="0" w:unhideWhenUsed="0"/>
    <w:lsdException w:name="Body Text" w:uiPriority="0" w:semiHidden="0" w:unhideWhenUsed="0" w:qFormat="1"/>
    <w:lsdException w:name="Body Text 2" w:uiPriority="0" w:semiHidden="0" w:unhideWhenUsed="0"/>
    <w:lsdException w:name="Body Text 3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Body Text Indent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Closing" w:uiPriority="0" w:semiHidden="0" w:unhideWhenUsed="0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ate" w:uiPriority="0" w:semiHidden="0" w:unhideWhenUsed="0"/>
    <w:lsdException w:name="Default Paragraph Font" w:uiPriority="0" w:unhideWhenUsed="0" w:qFormat="1"/>
    <w:lsdException w:name="Document Map" w:uiPriority="0" w:semiHidden="0" w:unhideWhenUsed="0"/>
    <w:lsdException w:name="E-mail Signature" w:uiPriority="0" w:semiHidden="0" w:unhideWhenUsed="0"/>
    <w:lsdException w:name="Emphasis" w:uiPriority="0" w:semiHidden="0" w:unhideWhenUsed="0" w:qFormat="1"/>
    <w:lsdException w:name="FollowedHyperlink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Hyperlink" w:uiPriority="0" w:semiHidden="0" w:unhideWhenUsed="0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List Number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Message Header" w:uiPriority="0" w:semiHidden="0" w:unhideWhenUsed="0"/>
    <w:lsdException w:name="Normal" w:uiPriority="0" w:semiHidden="0" w:unhideWhenUsed="0" w:qFormat="1"/>
    <w:lsdException w:name="Normal (Web)" w:uiPriority="0" w:semiHidden="0" w:unhideWhenUsed="0"/>
    <w:lsdException w:name="Normal Indent" w:uiPriority="0" w:semiHidden="0" w:unhideWhenUsed="0"/>
    <w:lsdException w:name="Normal Table" w:uiPriority="0" w:unhideWhenUsed="0" w:qFormat="1"/>
    <w:lsdException w:name="Note Heading" w:uiPriority="0" w:semiHidden="0" w:unhideWhenUsed="0"/>
    <w:lsdException w:name="Plain Text" w:uiPriority="0" w:semiHidden="0" w:unhideWhenUsed="0"/>
    <w:lsdException w:name="Salutation" w:uiPriority="0" w:semiHidden="0" w:unhideWhenUsed="0"/>
    <w:lsdException w:name="Signature" w:uiPriority="0" w:semiHidden="0" w:unhideWhenUsed="0"/>
    <w:lsdException w:name="Strong" w:uiPriority="0" w:semiHidden="0" w:unhideWhenUsed="0" w:qFormat="1"/>
    <w:lsdException w:name="Subtitle" w:uiPriority="0" w:semiHidden="0" w:unhideWhenUsed="0" w:qFormat="1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Grid" w:uiPriority="0" w:semiHidden="0" w:unhideWhenUsed="0" w:qFormat="1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Professional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Theme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Title" w:uiPriority="0" w:semiHidden="0" w:unhideWhenUsed="0" w:qFormat="1"/>
    <w:lsdException w:name="annotation reference" w:uiPriority="0" w:semiHidden="0" w:unhideWhenUsed="0"/>
    <w:lsdException w:name="annotation subject" w:uiPriority="0" w:semiHidden="0" w:unhideWhenUsed="0"/>
    <w:lsdException w:name="annotation text" w:uiPriority="0" w:semiHidden="0" w:unhideWhenUsed="0"/>
    <w:lsdException w:name="caption" w:uiPriority="0" w:qFormat="1"/>
    <w:lsdException w:name="endnote reference" w:uiPriority="0" w:semiHidden="0" w:unhideWhenUsed="0"/>
    <w:lsdException w:name="endnote text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er" w:uiPriority="0" w:semiHidden="0" w:unhideWhenUsed="0" w:qFormat="1"/>
    <w:lsdException w:name="footnote reference" w:uiPriority="0" w:semiHidden="0" w:unhideWhenUsed="0"/>
    <w:lsdException w:name="footnote text" w:uiPriority="0" w:semiHidden="0" w:unhideWhenUsed="0"/>
    <w:lsdException w:name="header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semiHidden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index heading" w:uiPriority="0" w:semiHidden="0" w:unhideWhenUsed="0"/>
    <w:lsdException w:name="line number" w:uiPriority="0" w:semiHidden="0" w:unhideWhenUsed="0"/>
    <w:lsdException w:name="macro" w:uiPriority="0" w:semiHidden="0" w:unhideWhenUsed="0"/>
    <w:lsdException w:name="page number" w:uiPriority="0" w:semiHidden="0" w:unhideWhenUsed="0" w:qFormat="1"/>
    <w:lsdException w:name="table of authorities" w:uiPriority="0" w:semiHidden="0" w:unhideWhenUsed="0"/>
    <w:lsdException w:name="table of figures" w:uiPriority="0" w:semiHidden="0" w:unhideWhenUsed="0"/>
    <w:lsdException w:name="toa heading" w:uiPriority="0" w:semiHidden="0" w:unhideWhenUsed="0"/>
    <w:lsdException w:name="toc 1" w:uiPriority="0" w:semiHidden="0" w:unhideWhenUsed="0" w:qFormat="1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</w:latentStyles>
  <w:style w:type="paragraph" w:styleId="1" w:default="1">
    <w:name w:val="Normal"/>
    <w:uiPriority w:val="0"/>
    <w:qFormat/>
    <w:pPr>
      <w:widowControl w:val="0"/>
      <w:jc w:val="both"/>
    </w:pPr>
    <w:rPr>
      <w:kern w:val="2"/>
      <w:sz w:val="21"/>
      <w:szCs w:val="24"/>
      <w:lang w:val="en-US" w:eastAsia="zh-CN" w:bidi="ar-SA"/>
      <w:rFonts w:asciiTheme="minorHAnsi" w:hAnsiTheme="minorHAnsi" w:eastAsiaTheme="minorEastAsia" w:cstheme="minorBidi"/>
    </w:rPr>
  </w:style>
  <w:style w:type="paragraph" w:styleId="2" w:default="0">
    <w:name w:val="heading 5"/>
    <w:basedOn w:val="1"/>
    <w:uiPriority w:val="9"/>
    <w:qFormat/>
    <w:pPr>
      <w:keepNext/>
      <w:keepLines/>
      <w:outlineLvl w:val="4"/>
      <w:spacing w:after="290" w:afterAutospacing="0" w:before="280" w:beforeAutospacing="0" w:line="376" w:lineRule="atLeast"/>
    </w:pPr>
    <w:rPr>
      <w:b w:val="1"/>
      <w:bCs w:val="1"/>
      <w:sz w:val="28"/>
      <w:szCs w:val="28"/>
    </w:rPr>
  </w:style>
  <w:style w:type="character" w:styleId="10" w:default="1">
    <w:name w:val="Default Paragraph Font"/>
    <w:uiPriority w:val="0"/>
    <w:semiHidden/>
    <w:qFormat/>
  </w:style>
  <w:style w:type="table" w:styleId="8" w:default="1">
    <w:name w:val="Normal Table"/>
    <w:uiPriority w:val="0"/>
    <w:semiHidden/>
    <w:qFormat/>
    <w:tblPr>
      <w:tblCellMar>
        <w:top w:type="dxa" w:w="0"/>
        <w:bottom w:type="dxa" w:w="0"/>
        <w:left w:type="dxa" w:w="108"/>
        <w:right w:type="dxa" w:w="108"/>
      </w:tblCellMar>
    </w:tblPr>
  </w:style>
  <w:style w:type="paragraph" w:styleId="3" w:default="0">
    <w:name w:val="Body Text"/>
    <w:basedOn w:val="1"/>
    <w:uiPriority w:val="0"/>
    <w:qFormat/>
    <w:pPr>
      <w:spacing w:after="120" w:afterAutospacing="0" w:beforeAutospacing="0" w:lineRule="auto"/>
    </w:pPr>
  </w:style>
  <w:style w:type="paragraph" w:styleId="4" w:default="0">
    <w:name w:val="footer"/>
    <w:basedOn w:val="1"/>
    <w:uiPriority w:val="0"/>
    <w:qFormat/>
    <w:pPr>
      <w:snapToGrid w:val="0"/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5" w:default="0">
    <w:name w:val="header"/>
    <w:basedOn w:val="1"/>
    <w:uiPriority w:val="0"/>
    <w:qFormat/>
    <w:pPr>
      <w:snapToGrid w:val="0"/>
      <w:pBdr>
        <w:bottom w:val="single" w:color="auto" w:sz="6" w:space="1" w:shadow="off" w:frame="off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 w:default="0">
    <w:name w:val="toc 1"/>
    <w:basedOn w:val="1"/>
    <w:uiPriority w:val="0"/>
    <w:qFormat/>
  </w:style>
  <w:style w:type="paragraph" w:styleId="7" w:default="0">
    <w:name w:val="Normal (Web)"/>
    <w:basedOn w:val="1"/>
    <w:uiPriority w:val="0"/>
    <w:pPr>
      <w:spacing w:after="0" w:afterAutospacing="1" w:before="0" w:beforeAutospacing="1" w:lineRule="auto"/>
      <w:ind w:left="0" w:right="0"/>
      <w:jc w:val="left"/>
    </w:pPr>
    <w:rPr>
      <w:kern w:val="0"/>
      <w:sz w:val="24"/>
      <w:lang w:val="en-US" w:eastAsia="zh-CN" w:bidi="ar"/>
    </w:rPr>
  </w:style>
  <w:style w:type="table" w:styleId="9" w:default="0">
    <w:name w:val="Table Grid"/>
    <w:basedOn w:val="8"/>
    <w:uiPriority w:val="0"/>
    <w:qFormat/>
    <w:pPr>
      <w:widowControl w:val="0"/>
      <w:jc w:val="both"/>
    </w:pPr>
    <w:tblPr>
      <w:tblBorders>
        <w:top w:val="single" w:color="auto" w:sz="4" w:space="0" w:shadow="off" w:frame="off"/>
        <w:left w:val="single" w:color="auto" w:sz="4" w:space="0" w:shadow="off" w:frame="off"/>
        <w:bottom w:val="single" w:color="auto" w:sz="4" w:space="0" w:shadow="off" w:frame="off"/>
        <w:right w:val="single" w:color="auto" w:sz="4" w:space="0" w:shadow="off" w:frame="off"/>
        <w:insideH w:val="single" w:color="auto" w:sz="4" w:space="0" w:shadow="off" w:frame="off"/>
        <w:insideV w:val="single" w:color="auto" w:sz="4" w:space="0" w:shadow="off" w:frame="off"/>
      </w:tblBorders>
    </w:tblPr>
  </w:style>
  <w:style w:type="character" w:styleId="11" w:default="0">
    <w:name w:val="page number"/>
    <w:basedOn w:val="10"/>
    <w:uiPriority w:val="0"/>
    <w:qFormat/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footer" Target="footer1.xml" /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typeface="新細明體" script="Hant"/>
        <a:font typeface="Times New Roman" script="Arab"/>
        <a:font typeface="Tunga" script="Knda"/>
        <a:font typeface="Latha" script="Taml"/>
        <a:font typeface="Nyala" script="Ethi"/>
        <a:font typeface="宋体" script="Hans"/>
        <a:font typeface="Raavi" script="Guru"/>
        <a:font typeface="Microsoft Yi Baiti" script="Yiii"/>
        <a:font typeface="MV Boli" script="Thaa"/>
        <a:font typeface="ＭＳ ゴシック" script="Jpan"/>
        <a:font typeface="Vrinda" script="Beng"/>
        <a:font typeface="Microsoft Uighur" script="Uigh"/>
        <a:font typeface="Angsana New" script="Thai"/>
        <a:font typeface="Shruti" script="Gujr"/>
        <a:font typeface="Estrangelo Edessa" script="Syrc"/>
        <a:font typeface="MoolBoran" script="Khmr"/>
        <a:font typeface="Euphemia" script="Cans"/>
        <a:font typeface="Kalinga" script="Orya"/>
        <a:font typeface="Mangal" script="Deva"/>
        <a:font typeface="맑은 고딕" script="Hang"/>
        <a:font typeface="Mongolian Baiti" script="Mong"/>
        <a:font typeface="Kartika" script="Mlym"/>
        <a:font typeface="Gautami" script="Telu"/>
        <a:font typeface="Plantagenet Cherokee" script="Cher"/>
        <a:font typeface="Times New Roman" script="Hebr"/>
        <a:font typeface="Iskoola Pota" script="Sinh"/>
        <a:font typeface="Sylfaen" script="Geor"/>
        <a:font typeface="DokChampa" script="Laoo"/>
        <a:font typeface="Microsoft Himalaya" script="Tibt"/>
        <a:font typeface="Times New Roman" script="Viet"/>
      </a:majorFont>
      <a:minorFont>
        <a:latin typeface="Calibri"/>
        <a:ea typeface=""/>
        <a:cs typeface=""/>
        <a:font typeface="新細明體" script="Hant"/>
        <a:font typeface="Arial" script="Arab"/>
        <a:font typeface="Tunga" script="Knda"/>
        <a:font typeface="Latha" script="Taml"/>
        <a:font typeface="Nyala" script="Ethi"/>
        <a:font typeface="宋体" script="Hans"/>
        <a:font typeface="Raavi" script="Guru"/>
        <a:font typeface="Microsoft Yi Baiti" script="Yiii"/>
        <a:font typeface="MV Boli" script="Thaa"/>
        <a:font typeface="ＭＳ 明朝" script="Jpan"/>
        <a:font typeface="Vrinda" script="Beng"/>
        <a:font typeface="Microsoft Uighur" script="Uigh"/>
        <a:font typeface="Cordia New" script="Thai"/>
        <a:font typeface="Shruti" script="Gujr"/>
        <a:font typeface="Estrangelo Edessa" script="Syrc"/>
        <a:font typeface="DaunPenh" script="Khmr"/>
        <a:font typeface="Euphemia" script="Cans"/>
        <a:font typeface="Kalinga" script="Orya"/>
        <a:font typeface="Mangal" script="Deva"/>
        <a:font typeface="맑은 고딕" script="Hang"/>
        <a:font typeface="Mongolian Baiti" script="Mong"/>
        <a:font typeface="Kartika" script="Mlym"/>
        <a:font typeface="Gautami" script="Telu"/>
        <a:font typeface="Plantagenet Cherokee" script="Cher"/>
        <a:font typeface="Arial" script="Hebr"/>
        <a:font typeface="Iskoola Pota" script="Sinh"/>
        <a:font typeface="Sylfaen" script="Geor"/>
        <a:font typeface="DokChampa" script="Laoo"/>
        <a:font typeface="Microsoft Himalaya" script="Tibt"/>
        <a:font typeface="Arial" script="Vie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scaled="0" ang="540000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scaled="0" ang="540000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scaled="0" ang="540000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1650</Words>
  <Characters>1709</Characters>
  <Application>WPS Office_11.1.0.14309_F1E327BC-269C-435d-A152-05C5408002CA</Application>
  <DocSecurity>0</DocSecurity>
  <Lines>0</Lines>
  <Paragraphs>0</Paragraphs>
  <ScaleCrop>false</ScaleCrop>
  <Company/>
  <LinksUpToDate>false</LinksUpToDate>
  <CharactersWithSpaces>1723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dcmitype="http://purl.org/dc/dcmitype/" xmlns:xsi="http://www.w3.org/2001/XMLSchema-instance">
  <dc:title/>
  <dc:subject/>
  <dc:creator>质促会2</dc:creator>
  <cp:keywords/>
  <dc:description/>
  <cp:lastModifiedBy>Y .</cp:lastModifiedBy>
  <cp:revision>0</cp:revision>
  <dcterms:created xsi:type="dcterms:W3CDTF">2023-02-13T06:54:00Z</dcterms:created>
  <dcterms:modified xsi:type="dcterms:W3CDTF">2023-06-05T06:21:57Z</dcterms:modified>
</cp:core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distribute"/>
        <w:textAlignment w:val="auto"/>
        <w:rPr>
          <w:b/>
          <w:bCs/>
          <w:sz w:val="116"/>
          <w:szCs w:val="11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EE1D23"/>
          <w:spacing w:val="-34"/>
          <w:w w:val="65"/>
          <w:kern w:val="0"/>
          <w:sz w:val="114"/>
          <w:szCs w:val="114"/>
          <w:lang w:val="en-US" w:eastAsia="zh-CN" w:bidi="ar"/>
        </w:rPr>
        <w:t>青岛市质量工作领导小组文件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青质组发〔2023〕 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225425</wp:posOffset>
                </wp:positionV>
                <wp:extent cx="5645150" cy="635"/>
                <wp:effectExtent l="0" t="13970" r="6350" b="2349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5150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3pt;margin-top:17.75pt;height:0.05pt;width:444.5pt;z-index:251659264;mso-width-relative:page;mso-height-relative:page;" filled="f" stroked="t" coordsize="21600,21600" o:gfxdata="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+FHzQ9gAAAAHAQAADwAAAAAAAAABACAAAAAiAAAAZHJzL2Rvd25y&#10;ZXYueG1sUEsBAhQAFAAAAAgAh07iQI9Osc/+AQAA8QMAAA4AAAAAAAAAAQAgAAAAJwEAAGRycy9l&#10;Mm9Eb2MueG1sUEsFBgAAAAAGAAYAWQEAAJc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  <w:lang w:val="en-US" w:eastAsia="zh-CN" w:bidi="ar-SA"/>
        </w:rPr>
        <w:t>青岛市质量工作领导小组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  <w:lang w:val="en-US" w:eastAsia="zh-CN" w:bidi="ar-SA"/>
        </w:rPr>
        <w:t>关于公布2022年度青岛市质量创新大赛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  <w:lang w:val="en-US" w:eastAsia="zh-CN" w:bidi="ar-SA"/>
        </w:rPr>
        <w:t>获奖项目的通知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各区、市人民政府，市直各部门，各相关单位：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4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为深入贯彻党的二十大精神，全面落实《质量强国建设纲要》，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更好发挥企业创新主体作用，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加快我市质量技术与国际先进水平对标，不断完善质量创新工作机制，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着力打通一批产业链供应链质量堵点，攻克一批关键核心技术质量难点，化解一批民生消费领域质量痛点，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更好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推动产业链供应链质量联动提升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，根据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《青岛市质量创新大赛管理办法（试行）》（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青质组办发〔2022〕20号）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青岛市质量工作领导小组组织开展了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2022年度青岛市质量创新大赛。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4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sectPr>
          <w:pgSz w:w="11906" w:h="16838"/>
          <w:pgMar w:top="2098" w:right="1474" w:bottom="1984" w:left="1587" w:header="851" w:footer="992" w:gutter="0"/>
          <w:cols w:space="0" w:num="1"/>
          <w:rtlGutter w:val="0"/>
          <w:docGrid w:type="linesAndChars" w:linePitch="292" w:charSpace="-2754"/>
        </w:sect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经研究决定：授予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中车青岛四方机车车辆股份有限公司等2家单位青岛市质量创新大赛一等奖；授予青岛市市立医院等3家单位青岛市质量创新大赛二等奖；授予青岛啤酒股份有限公司等5家单位青岛市质量创新大赛三等奖；授予</w:t>
      </w: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青岛双星轮胎工业有限公司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4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22家单位的项目青岛市质量创新大赛优秀奖，现予以公布（名单见附件）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14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希望以上获奖单位珍惜荣誉，再接再励，发挥好标杆引领作用，不断提升质量创新竞争力，推动我市在全国率先探索出以质量创新推动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质量变革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新路径，为打造质量强国建设“青岛样板”奠定坚实基础。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4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4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附件：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青岛市质量创新大赛获奖名单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84" w:firstLineChars="1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84" w:firstLineChars="1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青岛市质量工作领导小组办公室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05" w:firstLineChars="15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2023年5月29日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94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36"/>
          <w:szCs w:val="36"/>
          <w:lang w:val="en-US" w:eastAsia="zh-CN" w:bidi="ar-SA"/>
        </w:rPr>
        <w:t>青岛市质量创新大赛获奖名单</w:t>
      </w:r>
    </w:p>
    <w:p>
      <w:pPr>
        <w:pStyle w:val="6"/>
        <w:rPr>
          <w:rFonts w:hint="default"/>
          <w:lang w:val="en-US" w:eastAsia="zh-CN"/>
        </w:rPr>
      </w:pPr>
    </w:p>
    <w:tbl>
      <w:tblPr>
        <w:tblStyle w:val="9"/>
        <w:tblW w:w="9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3749"/>
        <w:gridCol w:w="4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0" w:hRule="atLeast"/>
          <w:jc w:val="center"/>
        </w:trPr>
        <w:tc>
          <w:tcPr>
            <w:tcW w:w="91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项目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中车青岛四方机车车辆股份有限公司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动车组全寿命周期服役性能保障技术研究及示范应用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中电科思仪科技股份有限公司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太赫兹测试仪器可靠性提升及规模化应用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青岛市市立医院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DRG临床路径新体系赋能医院高质量发展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青岛海洋工程水下设备检测有限公司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水下采油树系统关键部件检验检测新技术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青岛地铁集团有限公司西海岸建设分公司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大跨隧道预应力主动支护理论与建造成套技术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1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青岛啤酒股份有限公司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上面发酵白啤酒酿造技术研究及产品创新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青岛鸿鹄航空科技有限公司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覆盖全球的远距离航空温控生态服务平台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青岛超银中学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“点亮人生”“和衡”素质教育质量管理模式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青岛海尔空调器有限总公司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打造5星级舒适体验空调的关键技术研发与产业化应用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青岛海信日立空调系统有限公司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紧凑型可镜像家用中央空调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1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项目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青岛双星轮胎工业有限公司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全民安全轮胎的创新研发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中车青岛四方机车车辆股份有限公司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轨道客车高效、优质、绿色钎焊质量提升技术及产业化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中船重工(青岛)轨道交通装备有限公司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φ7032mm硬岩城市地铁隧道掘进机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青岛特殊钢铁有限公司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汽车用60Kg级高钛特种焊接用钢盘条的研发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青岛地铁运营有限公司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城市轨道交通飞轮储能技术研发与应用项目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青岛市勘察测绘研究院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超大规模城市实景三维模型建设质量控制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卡奥斯工业智能研究院（青岛）有限公司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青岛市质量基础设施公共服务平台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海信冰箱有限公司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家用冰箱真空存储保鲜技术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青岛明月海藻集团有限公司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藻酸盐组织工程材料研发与产业化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青岛森麒麟轮胎股份有限公司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QinrinEV新能源专用轮胎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中石大蓝天(青岛)石油技术有限公司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多能互补直流微电网及抽油机节能群控系统节能技术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青岛市中心医院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全方位健康宣教模式在血液透析患者管理中的应用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青岛海尔洗衣机有限公司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家电可视化透明包装减少资源浪费改善环境的探索实践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凯盛浩丰农业有限公司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智慧农业数智化管理项目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山东大学齐鲁医院（青岛）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脑卒中吞咽障碍多学科恢复经口进食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管理路径的构建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青岛市口腔医院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青岛市口腔健康教育基地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中国石化青岛炼油化工有限责任公司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耐辐照杀菌聚丙烯专用料的开发与应用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青岛伊克斯达有限公司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废旧轮胎生产裂解炭黑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青岛市黄岛区人民医院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基于MEWS与SBAR机制的风险预警系统模型在急性脑卒中患者中的实证研究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青岛市中医医院（市海慈医院）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患者“一键下单” 医院“送药上门”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青岛市第三人民医院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三高指导中心管理体系构建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青岛市城阳区人民医院</w:t>
            </w:r>
          </w:p>
        </w:tc>
        <w:tc>
          <w:tcPr>
            <w:tcW w:w="44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智慧就医，一“码”到底</w:t>
            </w:r>
          </w:p>
        </w:tc>
      </w:tr>
    </w:tbl>
    <w:p>
      <w:pPr>
        <w:tabs>
          <w:tab w:val="left" w:pos="1378"/>
        </w:tabs>
        <w:snapToGrid w:val="0"/>
        <w:spacing w:line="560" w:lineRule="exact"/>
        <w:ind w:firstLine="3645" w:firstLineChars="1850"/>
        <w:jc w:val="left"/>
        <w:rPr>
          <w:rFonts w:hint="eastAsia" w:ascii="仿宋_GB2312"/>
          <w:color w:val="auto"/>
          <w:szCs w:val="32"/>
        </w:rPr>
      </w:pPr>
    </w:p>
    <w:p>
      <w:pPr>
        <w:rPr>
          <w:rFonts w:hint="eastAsia" w:ascii="仿宋_GB2312"/>
          <w:color w:val="auto"/>
          <w:szCs w:val="32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仿宋_GB2312"/>
          <w:color w:val="auto"/>
          <w:szCs w:val="32"/>
        </w:rPr>
      </w:pPr>
    </w:p>
    <w:p>
      <w:pPr>
        <w:spacing w:line="400" w:lineRule="exact"/>
        <w:ind w:firstLine="401" w:firstLineChars="15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36195</wp:posOffset>
                </wp:positionV>
                <wp:extent cx="5488305" cy="0"/>
                <wp:effectExtent l="0" t="10795" r="10795" b="14605"/>
                <wp:wrapTopAndBottom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8305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.5pt;margin-top:2.85pt;height:0pt;width:432.15pt;mso-wrap-distance-bottom:0pt;mso-wrap-distance-top:0pt;z-index:251662336;mso-width-relative:page;mso-height-relative:page;" filled="f" stroked="t" coordsize="21600,21600" o:gfxdata="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E0zIgNYAAAAGAQAADwAAAAAAAAABACAAAAAiAAAAZHJzL2Rvd25yZXYueG1sUEsBAhQA&#10;FAAAAAgAh07iQEc6z2z0AQAA5QMAAA4AAAAAAAAAAQAgAAAAJQEAAGRycy9lMm9Eb2MueG1sUEsF&#10;BgAAAAAGAAYAWQEAAIsFAAAAAA==&#10;">
                <v:fill on="f" focussize="0,0"/>
                <v:stroke weight="1.75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抄送：市委各部门，市人大常委会办公厅，市政协办公厅，市法院，</w:t>
      </w:r>
    </w:p>
    <w:p>
      <w:pPr>
        <w:spacing w:line="400" w:lineRule="exact"/>
        <w:ind w:left="764" w:leftChars="388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市检察院。各民主党派市委。</w:t>
      </w:r>
    </w:p>
    <w:p>
      <w:pPr>
        <w:spacing w:line="400" w:lineRule="exact"/>
        <w:ind w:firstLine="398" w:firstLineChars="14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367030</wp:posOffset>
                </wp:positionV>
                <wp:extent cx="5486400" cy="635"/>
                <wp:effectExtent l="0" t="9525" r="0" b="15240"/>
                <wp:wrapTopAndBottom/>
                <wp:docPr id="5" name="任意多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63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640" h="1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1pt;margin-top:28.9pt;height:0.05pt;width:432pt;mso-wrap-distance-bottom:0pt;mso-wrap-distance-top:0pt;z-index:251661312;mso-width-relative:page;mso-height-relative:page;" filled="f" stroked="t" coordsize="8640,1" o:gfxdata="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aLI1nXAAAACAEAAA8AAAAAAAAAAQAgAAAAIgAAAGRycy9kb3ducmV2LnhtbFBL&#10;AQIUABQAAAAIAIdO4kD5IPWCMAIAAIsEAAAOAAAAAAAAAAEAIAAAACYBAABkcnMvZTJvRG9jLnht&#10;bFBLBQYAAAAABgAGAFkBAADIBQAAAAA=&#10;" path="m0,0l8640,0e">
                <v:fill on="f" focussize="0,0"/>
                <v:stroke weight="1.5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53975</wp:posOffset>
                </wp:positionV>
                <wp:extent cx="5488305" cy="0"/>
                <wp:effectExtent l="0" t="0" r="0" b="0"/>
                <wp:wrapTopAndBottom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8305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.5pt;margin-top:4.25pt;height:0pt;width:432.15pt;mso-wrap-distance-bottom:0pt;mso-wrap-distance-top:0pt;z-index:251660288;mso-width-relative:page;mso-height-relative:page;" filled="f" stroked="t" coordsize="21600,21600" o:gfxdata="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NH7kvWAAAABgEAAA8AAAAAAAAAAQAgAAAAIgAAAGRycy9kb3ducmV2LnhtbFBLAQIU&#10;ABQAAAAIAIdO4kAGhN+E9QEAAOQDAAAOAAAAAAAAAAEAIAAAACUBAABkcnMvZTJvRG9jLnhtbFBL&#10;BQYAAAAABgAGAFkBAACMBQAAAAA=&#10;">
                <v:fill on="f" focussize="0,0"/>
                <v:stroke weight="0.25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青岛市质量工作领导小组办公室            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start="2"/>
      <w:cols w:space="0" w:num="1"/>
      <w:rtlGutter w:val="0"/>
      <w:docGrid w:type="linesAndChars" w:linePitch="292" w:charSpace="-2754"/>
    </w:sectPr>
  </w:body>
</w:document>
</file>